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_rels/document.xml.rels" ContentType="application/vnd.openxmlformats-package.relationships+xml"/>
  <Override PartName="/word/media/image4.png" ContentType="image/png"/>
  <Override PartName="/word/media/image5.png" ContentType="image/png"/>
  <Override PartName="/word/media/image1.png" ContentType="image/png"/>
  <Override PartName="/word/media/image2.png" ContentType="image/png"/>
  <Override PartName="/word/media/image3.png" ContentType="image/pn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35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1530"/>
        <w:gridCol w:w="7820"/>
      </w:tblGrid>
      <w:tr>
        <w:trPr/>
        <w:tc>
          <w:tcPr>
            <w:tcW w:w="153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  <w:tc>
          <w:tcPr>
            <w:tcW w:w="782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</w:tr>
      <w:tr>
        <w:trPr/>
        <w:tc>
          <w:tcPr>
            <w:tcW w:w="153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Название мероприятия</w:t>
            </w:r>
          </w:p>
        </w:tc>
        <w:tc>
          <w:tcPr>
            <w:tcW w:w="782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Квест «Верни Васю домой ...»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</w:tr>
      <w:tr>
        <w:trPr/>
        <w:tc>
          <w:tcPr>
            <w:tcW w:w="153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Цель</w:t>
            </w:r>
          </w:p>
        </w:tc>
        <w:tc>
          <w:tcPr>
            <w:tcW w:w="782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Формирование функциональной грамотности.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</w:tr>
      <w:tr>
        <w:trPr/>
        <w:tc>
          <w:tcPr>
            <w:tcW w:w="153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Планируемые результаты</w:t>
            </w:r>
          </w:p>
        </w:tc>
        <w:tc>
          <w:tcPr>
            <w:tcW w:w="782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Предметные: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1. применять формулу площади прямоугольника, выполнять действия с десятичными дробями, округлять результат;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 xml:space="preserve">2. </w:t>
            </w:r>
            <w:r>
              <w:rPr>
                <w:rFonts w:ascii="serif" w:hAnsi="serif"/>
                <w:sz w:val="20"/>
              </w:rPr>
              <w:t>проверять истинность утверждений на основе информации в таблице, понимать смысл обыкновенных дробей;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>
                <w:rFonts w:ascii="serif" w:hAnsi="serif"/>
                <w:sz w:val="20"/>
              </w:rPr>
              <w:t xml:space="preserve">3. </w:t>
            </w:r>
            <w:r>
              <w:rPr>
                <w:rFonts w:ascii="serif" w:hAnsi="serif"/>
                <w:sz w:val="20"/>
              </w:rPr>
              <w:t>составлять числовое выражение, вычислять процент от числа</w:t>
            </w:r>
            <w:r>
              <w:rPr>
                <w:rFonts w:ascii="serif" w:hAnsi="serif"/>
                <w:sz w:val="20"/>
              </w:rPr>
              <w:t>;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>
                <w:rFonts w:ascii="serif" w:hAnsi="serif"/>
                <w:sz w:val="20"/>
              </w:rPr>
              <w:t>4. читать реальные графики;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>
                <w:rFonts w:ascii="serif" w:hAnsi="serif"/>
                <w:sz w:val="20"/>
              </w:rPr>
              <w:t>5. применять свойства прямоугольного треугольника, наклонной, параллельных прямых, аксиому (свойство) длины отрезка.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Метапредметные :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i/>
              </w:rPr>
              <w:t>Познавательные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i/>
              </w:rPr>
              <w:t xml:space="preserve">базовые логические действия: </w:t>
            </w: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выявлять и характеризовать существенные признаки объектов (явлений); выявлять причинно-следственные связи при изучении явлений и процессов;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bookmarkStart w:id="0" w:name="dst100494"/>
            <w:bookmarkEnd w:id="0"/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делать выводы с использованием дедуктивных и индуктивных умозаключений, умозаключений по аналогии, формулировать гипотезы о взаимосвязях; 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работа с информацией: применять различные методы, инструменты и запросы при поиске и отборе информации или данных из источников с учетом предложенной учебной задачи и заданных критериев;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bookmarkStart w:id="1" w:name="dst100506"/>
            <w:bookmarkEnd w:id="1"/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выбирать, анализировать, систематизировать и интерпретировать информацию различных видов и форм представления;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i/>
              </w:rPr>
              <w:t>Коммуникативные</w:t>
            </w:r>
          </w:p>
          <w:p>
            <w:pPr>
              <w:pStyle w:val="Normal"/>
              <w:tabs>
                <w:tab w:val="clear" w:pos="708"/>
                <w:tab w:val="left" w:pos="0" w:leader="none"/>
                <w:tab w:val="left" w:pos="993" w:leader="none"/>
              </w:tabs>
              <w:jc w:val="both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color w:val="C00000"/>
                <w:sz w:val="20"/>
                <w:szCs w:val="20"/>
              </w:rPr>
              <w:t>общение</w:t>
            </w:r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>:</w:t>
            </w:r>
            <w:bookmarkStart w:id="2" w:name="dst100514"/>
            <w:bookmarkEnd w:id="2"/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воспринимать и формулировать суждения, выражать эмоции в соответствии с целями и условиями общения;</w:t>
            </w:r>
            <w:bookmarkStart w:id="3" w:name="dst100515"/>
            <w:bookmarkEnd w:id="3"/>
            <w:r>
              <w:rPr>
                <w:rFonts w:eastAsia="Times New Roman" w:cs="Times New Roman"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выражать себя (свою точку зрения) в устных и письменных текстах;</w:t>
            </w:r>
          </w:p>
          <w:p>
            <w:pPr>
              <w:pStyle w:val="Normal"/>
              <w:tabs>
                <w:tab w:val="clear" w:pos="708"/>
                <w:tab w:val="left" w:pos="0" w:leader="none"/>
                <w:tab w:val="left" w:pos="993" w:leader="none"/>
              </w:tabs>
              <w:jc w:val="both"/>
              <w:rPr>
                <w:rFonts w:ascii="Times New Roman" w:hAnsi="Times New Roman" w:eastAsia="Times New Roman" w:cs="Times New Roman"/>
                <w:i/>
                <w:i/>
                <w:color w:val="C00000"/>
                <w:sz w:val="20"/>
                <w:szCs w:val="20"/>
              </w:rPr>
            </w:pPr>
            <w:r>
              <w:rPr>
                <w:rFonts w:eastAsia="Times New Roman" w:cs="Times New Roman" w:ascii="Times New Roman" w:hAnsi="Times New Roman"/>
                <w:i/>
                <w:color w:val="C00000"/>
                <w:sz w:val="20"/>
                <w:szCs w:val="20"/>
              </w:rPr>
              <w:t>с</w:t>
            </w:r>
            <w:r>
              <w:rPr>
                <w:rFonts w:eastAsia="Times New Roman" w:cs="Times New Roman" w:ascii="Times New Roman" w:hAnsi="Times New Roman"/>
                <w:i/>
                <w:color w:val="C00000"/>
                <w:sz w:val="20"/>
                <w:szCs w:val="20"/>
              </w:rPr>
              <w:t>овместная деятельность:</w:t>
            </w:r>
            <w:bookmarkStart w:id="4" w:name="dst100523"/>
            <w:bookmarkEnd w:id="4"/>
            <w:r>
              <w:rPr>
                <w:rFonts w:eastAsia="Times New Roman" w:cs="Times New Roman" w:ascii="Times New Roman" w:hAnsi="Times New Roman"/>
                <w:i/>
                <w:color w:val="C00000"/>
                <w:sz w:val="20"/>
                <w:szCs w:val="2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 уметь обобщать мнения нескольких людей, проявлять готовность руководить, выполнять поручения, подчиняться;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i/>
              </w:rPr>
              <w:t>Регулятивные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i/>
              </w:rPr>
              <w:t xml:space="preserve">самоорганизация: </w:t>
            </w:r>
            <w:r>
              <w:rPr>
                <w:rFonts w:eastAsia="Times New Roman" w:cs="Times New Roman" w:ascii="Times New Roman" w:hAnsi="Times New Roman"/>
                <w:i/>
                <w:sz w:val="20"/>
                <w:szCs w:val="20"/>
              </w:rPr>
              <w:t>выявлять проблемы для решения в жизненных и учебных ситуациях; ориентироваться в различных подходах принятия решений (индивидуальное, принятие решения в группе, принятие решений группой); делать выбор и брать ответственность за решение;</w:t>
            </w:r>
          </w:p>
          <w:p>
            <w:pPr>
              <w:pStyle w:val="Normal"/>
              <w:spacing w:lineRule="auto" w:line="240" w:before="0" w:after="0"/>
              <w:rPr>
                <w:i/>
                <w:i/>
              </w:rPr>
            </w:pPr>
            <w:r>
              <w:rPr>
                <w:i/>
              </w:rPr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Личностные: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jc w:val="both"/>
              <w:rPr>
                <w:rFonts w:ascii="Times New Roman" w:hAnsi="Times New Roman" w:eastAsia="Times New Roman" w:cs="Times New Roman"/>
                <w:i/>
                <w:i/>
              </w:rPr>
            </w:pPr>
            <w:r>
              <w:rPr>
                <w:rFonts w:eastAsia="Times New Roman" w:cs="Times New Roman" w:ascii="Times New Roman" w:hAnsi="Times New Roman"/>
                <w:i/>
                <w:color w:val="C00000"/>
              </w:rPr>
              <w:t>д</w:t>
            </w:r>
            <w:r>
              <w:rPr>
                <w:rFonts w:eastAsia="Times New Roman" w:cs="Times New Roman" w:ascii="Times New Roman" w:hAnsi="Times New Roman"/>
                <w:i/>
                <w:color w:val="C00000"/>
              </w:rPr>
              <w:t>уховно-нравственного воспитания:</w:t>
            </w:r>
            <w:bookmarkStart w:id="5" w:name="dst100439"/>
            <w:bookmarkEnd w:id="5"/>
            <w:r>
              <w:rPr>
                <w:rFonts w:eastAsia="Times New Roman" w:cs="Times New Roman" w:ascii="Times New Roman" w:hAnsi="Times New Roman"/>
                <w:i/>
                <w:color w:val="C0000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</w:rPr>
              <w:t>ориентация на моральные ценности и нормы в ситуациях нравственного выбора;</w:t>
            </w:r>
            <w:bookmarkStart w:id="6" w:name="dst100440"/>
            <w:bookmarkEnd w:id="6"/>
            <w:r>
              <w:rPr>
                <w:rFonts w:eastAsia="Times New Roman" w:cs="Times New Roman" w:ascii="Times New Roman" w:hAnsi="Times New Roman"/>
              </w:rPr>
              <w:t xml:space="preserve"> 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</w:t>
            </w:r>
          </w:p>
          <w:p>
            <w:pPr>
              <w:pStyle w:val="Normal"/>
              <w:spacing w:before="0" w:after="160"/>
              <w:jc w:val="both"/>
              <w:rPr>
                <w:rFonts w:ascii="Times New Roman" w:hAnsi="Times New Roman" w:eastAsia="Times New Roman" w:cs="Times New Roman"/>
                <w:i/>
                <w:i/>
                <w:color w:val="C00000"/>
              </w:rPr>
            </w:pPr>
            <w:r>
              <w:rPr>
                <w:rFonts w:eastAsia="Times New Roman" w:cs="Times New Roman" w:ascii="Times New Roman" w:hAnsi="Times New Roman"/>
                <w:i/>
                <w:color w:val="C00000"/>
              </w:rPr>
              <w:t>Эстетического воспитания:</w:t>
            </w:r>
            <w:bookmarkStart w:id="7" w:name="dst100443"/>
            <w:bookmarkEnd w:id="7"/>
            <w:r>
              <w:rPr>
                <w:rFonts w:eastAsia="Times New Roman" w:cs="Times New Roman" w:ascii="Times New Roman" w:hAnsi="Times New Roman"/>
                <w:i/>
                <w:color w:val="C00000"/>
              </w:rPr>
              <w:t xml:space="preserve"> </w:t>
            </w:r>
            <w:r>
              <w:rPr>
                <w:rFonts w:eastAsia="Times New Roman" w:cs="Times New Roman" w:ascii="Times New Roman" w:hAnsi="Times New Roman"/>
              </w:rPr>
              <w:t>восприимчивость к разным видам искусства, традициям и творчеству своего и других народов, понимание эмоционального воздействия искусства; осознание важности художественной культуры как средства коммуникации и самовыражения.</w:t>
            </w:r>
          </w:p>
        </w:tc>
      </w:tr>
      <w:tr>
        <w:trPr/>
        <w:tc>
          <w:tcPr>
            <w:tcW w:w="153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Этапы</w:t>
            </w:r>
          </w:p>
        </w:tc>
        <w:tc>
          <w:tcPr>
            <w:tcW w:w="782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1. Организационный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 xml:space="preserve">Сообщение преамбулы: 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- рассказ про Васю (видео);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- сообщение цели для детей: собрать пазлы в картину на которой написано заклинание ( Счет и вычисления - основа порядка в голове. Песталоцци), оно   поможет вернуться Васе домой;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 xml:space="preserve">- </w:t>
            </w:r>
            <w:r>
              <w:rPr/>
              <w:t>деление на команды, получение маршрутного листа.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2. Работа по станциям.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3. Подведение итогов, возвращение Васи домой (видео).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</w:tr>
      <w:tr>
        <w:trPr/>
        <w:tc>
          <w:tcPr>
            <w:tcW w:w="153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Задания для разных этапов</w:t>
            </w:r>
          </w:p>
        </w:tc>
        <w:tc>
          <w:tcPr>
            <w:tcW w:w="7820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t>После выполнения задания переход на следующую станцию осуществляется особым способом, придуманным командой (способы передвижение не повторяются), получают бонусы. Бонусы обменивают на сладкий приз, недостающий кусок пазла и т. п.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Станция 1 «Ковер»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Полезная информация о составе ковров и их влиянии на здоровье человека.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5715</wp:posOffset>
                  </wp:positionV>
                  <wp:extent cx="4849495" cy="1830705"/>
                  <wp:effectExtent l="0" t="0" r="0" b="0"/>
                  <wp:wrapNone/>
                  <wp:docPr id="1" name="Изображение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10343" t="20373" r="11749" b="273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9495" cy="183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Станция 2 «Музей игрушки»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Полезная информация об истории возникновения игрушек.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828540" cy="2715895"/>
                  <wp:effectExtent l="0" t="0" r="0" b="0"/>
                  <wp:wrapSquare wrapText="largest"/>
                  <wp:docPr id="2" name="Изображение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8540" cy="271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Станция 3 «Интернет — магазин»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Полезная информация о рисках работы в интернет — магазинах.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828540" cy="2715895"/>
                  <wp:effectExtent l="0" t="0" r="0" b="0"/>
                  <wp:wrapSquare wrapText="largest"/>
                  <wp:docPr id="3" name="Изображение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8540" cy="271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Станция 4 «Заповедник»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Полезная информация о парках Новосибирска.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828540" cy="2715895"/>
                  <wp:effectExtent l="0" t="0" r="0" b="0"/>
                  <wp:wrapSquare wrapText="largest"/>
                  <wp:docPr id="4" name="Изображение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8540" cy="271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Станция 5 «Лестница»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t>Полезная информация о ТБ на лестницах.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828540" cy="2715895"/>
                  <wp:effectExtent l="0" t="0" r="0" b="0"/>
                  <wp:wrapSquare wrapText="largest"/>
                  <wp:docPr id="5" name="Изображение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8540" cy="2715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pStyle w:val="Normal"/>
        <w:widowControl/>
        <w:bidi w:val="0"/>
        <w:spacing w:lineRule="auto" w:line="259" w:before="0" w:after="160"/>
        <w:jc w:val="left"/>
        <w:rPr/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PT Astra Serif">
    <w:charset w:val="01"/>
    <w:family w:val="roman"/>
    <w:pitch w:val="default"/>
  </w:font>
  <w:font w:name="serif">
    <w:charset w:val="01"/>
    <w:family w:val="auto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c22a72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ascii="PT Astra Serif" w:hAnsi="PT Astra Serif" w:cs="Noto Sans Devanagari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NoSpacing">
    <w:name w:val="No Spacing"/>
    <w:qFormat/>
    <w:pPr>
      <w:widowControl/>
      <w:bidi w:val="0"/>
      <w:spacing w:lineRule="auto" w:line="240" w:before="0" w:after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094002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Application>LibreOffice/6.4.6.2$Linux_X86_64 LibreOffice_project/40$Build-2</Application>
  <Pages>4</Pages>
  <Words>450</Words>
  <Characters>3255</Characters>
  <CharactersWithSpaces>3665</CharactersWithSpaces>
  <Paragraphs>45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2022-10-30T05:10:00Z</dcterms:created>
  <dc:creator>User</dc:creator>
  <dc:description/>
  <dc:language>ru-RU</dc:language>
  <cp:lastModifiedBy/>
  <dcterms:modified xsi:type="dcterms:W3CDTF">2022-10-31T13:05:26Z</dcterms:modified>
  <cp:revision>19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